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97C86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2918461" cy="44196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-smal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1" cy="441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 w:cs="Calibri"/>
          <w:sz w:val="24"/>
          <w:szCs w:val="24"/>
        </w:rPr>
      </w:pPr>
      <w:r w:rsidRPr="00597C86">
        <w:rPr>
          <w:rFonts w:asciiTheme="majorEastAsia" w:eastAsiaTheme="majorEastAsia" w:hAnsiTheme="majorEastAsia"/>
          <w:sz w:val="24"/>
          <w:szCs w:val="24"/>
        </w:rPr>
        <w:t>IFP</w:t>
      </w:r>
      <w:r w:rsidRPr="00597C86">
        <w:rPr>
          <w:rFonts w:asciiTheme="majorEastAsia" w:eastAsiaTheme="majorEastAsia" w:hAnsiTheme="majorEastAsia" w:hint="eastAsia"/>
          <w:sz w:val="24"/>
          <w:szCs w:val="24"/>
          <w:lang w:val="zh-TW"/>
        </w:rPr>
        <w:t>培訓課程報名表</w:t>
      </w:r>
    </w:p>
    <w:tbl>
      <w:tblPr>
        <w:tblStyle w:val="TableNormal"/>
        <w:tblW w:w="10460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53"/>
        <w:gridCol w:w="2076"/>
        <w:gridCol w:w="683"/>
        <w:gridCol w:w="8"/>
        <w:gridCol w:w="863"/>
        <w:gridCol w:w="2034"/>
        <w:gridCol w:w="1451"/>
        <w:gridCol w:w="1892"/>
      </w:tblGrid>
      <w:tr w:rsidR="00597C86" w:rsidRPr="00597C86" w:rsidTr="00597C86">
        <w:trPr>
          <w:trHeight w:val="720"/>
        </w:trPr>
        <w:tc>
          <w:tcPr>
            <w:tcW w:w="10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基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本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資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料</w:t>
            </w:r>
            <w:r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 xml:space="preserve">     </w:t>
            </w:r>
          </w:p>
        </w:tc>
      </w:tr>
      <w:tr w:rsidR="00597C86" w:rsidRPr="00597C86" w:rsidTr="00597C86">
        <w:trPr>
          <w:trHeight w:val="72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97C86">
              <w:rPr>
                <w:rFonts w:asciiTheme="majorEastAsia" w:eastAsiaTheme="majorEastAsia" w:hAnsiTheme="majorEastAsia" w:cs="Calibri" w:hint="eastAsia"/>
                <w:color w:val="FF0000"/>
                <w:sz w:val="24"/>
                <w:szCs w:val="24"/>
                <w:u w:color="FF0000"/>
                <w:lang w:val="zh-TW"/>
              </w:rPr>
              <w:t>＊</w:t>
            </w:r>
            <w:proofErr w:type="gramEnd"/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姓　名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學　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目前職級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C86" w:rsidRPr="00597C86" w:rsidTr="00597C86">
        <w:trPr>
          <w:trHeight w:val="72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97C86">
              <w:rPr>
                <w:rFonts w:asciiTheme="majorEastAsia" w:eastAsiaTheme="majorEastAsia" w:hAnsiTheme="majorEastAsia" w:cs="Calibri" w:hint="eastAsia"/>
                <w:color w:val="FF0000"/>
                <w:sz w:val="24"/>
                <w:szCs w:val="24"/>
                <w:u w:color="FF0000"/>
                <w:lang w:val="zh-TW"/>
              </w:rPr>
              <w:t>＊</w:t>
            </w:r>
            <w:proofErr w:type="gramEnd"/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年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齡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97C86">
              <w:rPr>
                <w:rFonts w:asciiTheme="majorEastAsia" w:eastAsiaTheme="majorEastAsia" w:hAnsiTheme="majorEastAsia" w:cs="Calibri" w:hint="eastAsia"/>
                <w:color w:val="FF0000"/>
                <w:sz w:val="24"/>
                <w:szCs w:val="24"/>
                <w:u w:color="FF0000"/>
                <w:lang w:val="zh-TW"/>
              </w:rPr>
              <w:t>＊</w:t>
            </w:r>
            <w:proofErr w:type="gramEnd"/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現任公司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C86" w:rsidRPr="00597C86" w:rsidTr="00597C86">
        <w:trPr>
          <w:trHeight w:val="72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97C86">
              <w:rPr>
                <w:rFonts w:asciiTheme="majorEastAsia" w:eastAsiaTheme="majorEastAsia" w:hAnsiTheme="majorEastAsia" w:cs="Calibri" w:hint="eastAsia"/>
                <w:color w:val="FF0000"/>
                <w:sz w:val="24"/>
                <w:szCs w:val="24"/>
                <w:u w:color="FF0000"/>
                <w:lang w:val="zh-TW"/>
              </w:rPr>
              <w:t>＊</w:t>
            </w:r>
            <w:proofErr w:type="gramEnd"/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手</w:t>
            </w:r>
            <w:r w:rsidRPr="00597C86">
              <w:rPr>
                <w:rFonts w:asciiTheme="majorEastAsia" w:eastAsiaTheme="majorEastAsia" w:hAnsiTheme="majorEastAsia" w:cs="Calibri"/>
                <w:i/>
                <w:iCs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機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97C86">
              <w:rPr>
                <w:rFonts w:asciiTheme="majorEastAsia" w:eastAsiaTheme="majorEastAsia" w:hAnsiTheme="majorEastAsia" w:cs="Calibri" w:hint="eastAsia"/>
                <w:color w:val="FF0000"/>
                <w:sz w:val="24"/>
                <w:szCs w:val="24"/>
                <w:u w:color="FF0000"/>
                <w:lang w:val="zh-TW"/>
              </w:rPr>
              <w:t>＊</w:t>
            </w:r>
            <w:proofErr w:type="gramEnd"/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>Email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C86" w:rsidRPr="00597C86" w:rsidTr="00597C86">
        <w:trPr>
          <w:trHeight w:val="72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壽險年資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＊</w:t>
            </w:r>
            <w:proofErr w:type="gramEnd"/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報名日期</w:t>
            </w:r>
          </w:p>
        </w:tc>
        <w:tc>
          <w:tcPr>
            <w:tcW w:w="5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    </w:t>
            </w: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 xml:space="preserve">年  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   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月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  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日</w:t>
            </w:r>
          </w:p>
        </w:tc>
      </w:tr>
      <w:tr w:rsidR="00597C86" w:rsidRPr="00597C86" w:rsidTr="00597C86">
        <w:trPr>
          <w:trHeight w:val="401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金融證照</w:t>
            </w:r>
          </w:p>
        </w:tc>
        <w:tc>
          <w:tcPr>
            <w:tcW w:w="9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ind w:left="1440" w:hangingChars="600" w:hanging="14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人身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投資型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外幣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產險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信託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其它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val="zh-TW"/>
              </w:rPr>
              <w:t xml:space="preserve">                            </w:t>
            </w:r>
          </w:p>
        </w:tc>
      </w:tr>
      <w:tr w:rsidR="00597C86" w:rsidRPr="00597C86" w:rsidTr="00597C86">
        <w:trPr>
          <w:trHeight w:val="372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課程資訊</w:t>
            </w:r>
          </w:p>
        </w:tc>
        <w:tc>
          <w:tcPr>
            <w:tcW w:w="9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您是經由何管道得知課程資訊？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網路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公司推廣傳達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推薦者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val="zh-TW"/>
              </w:rPr>
              <w:t>_   TRFP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  <w:lang w:val="zh-TW"/>
              </w:rPr>
              <w:t xml:space="preserve">     </w:t>
            </w:r>
            <w:bookmarkStart w:id="0" w:name="_GoBack"/>
            <w:bookmarkEnd w:id="0"/>
          </w:p>
        </w:tc>
      </w:tr>
      <w:tr w:rsidR="00597C86" w:rsidRPr="00597C86" w:rsidTr="00597C86">
        <w:trPr>
          <w:trHeight w:val="720"/>
        </w:trPr>
        <w:tc>
          <w:tcPr>
            <w:tcW w:w="10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電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腦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基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proofErr w:type="gramStart"/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礎</w:t>
            </w:r>
            <w:proofErr w:type="gramEnd"/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技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能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評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估</w:t>
            </w:r>
          </w:p>
        </w:tc>
      </w:tr>
      <w:tr w:rsidR="00597C86" w:rsidRPr="00597C86" w:rsidTr="00597C86">
        <w:trPr>
          <w:trHeight w:val="284"/>
        </w:trPr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項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目</w:t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自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我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評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量</w:t>
            </w:r>
          </w:p>
        </w:tc>
      </w:tr>
      <w:tr w:rsidR="00597C86" w:rsidRPr="00597C86" w:rsidTr="00597C86">
        <w:trPr>
          <w:trHeight w:val="476"/>
        </w:trPr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pStyle w:val="a3"/>
              <w:numPr>
                <w:ilvl w:val="0"/>
                <w:numId w:val="1"/>
              </w:numPr>
              <w:spacing w:line="360" w:lineRule="exact"/>
              <w:rPr>
                <w:rFonts w:asciiTheme="majorEastAsia" w:eastAsiaTheme="majorEastAsia" w:hAnsiTheme="majorEastAsia" w:cs="Calibri" w:hint="default"/>
                <w:sz w:val="24"/>
                <w:szCs w:val="24"/>
                <w:lang w:val="zh-TW"/>
              </w:rPr>
            </w:pP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電腦基礎操作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>(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例如上網、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>Email )</w:t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熟練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會一點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完全不會</w:t>
            </w:r>
          </w:p>
        </w:tc>
      </w:tr>
      <w:tr w:rsidR="00597C86" w:rsidRPr="00597C86" w:rsidTr="00597C86">
        <w:trPr>
          <w:trHeight w:val="386"/>
        </w:trPr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pStyle w:val="a3"/>
              <w:numPr>
                <w:ilvl w:val="0"/>
                <w:numId w:val="2"/>
              </w:numPr>
              <w:spacing w:line="360" w:lineRule="exact"/>
              <w:jc w:val="both"/>
              <w:rPr>
                <w:rFonts w:asciiTheme="majorEastAsia" w:eastAsiaTheme="majorEastAsia" w:hAnsiTheme="majorEastAsia" w:cs="Calibri" w:hint="default"/>
                <w:sz w:val="24"/>
                <w:szCs w:val="24"/>
                <w:lang w:val="zh-TW"/>
              </w:rPr>
            </w:pP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簡報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>PowerPoint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製作</w:t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134B8F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熟練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會一點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</w:rPr>
              <w:t xml:space="preserve">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完全不會</w:t>
            </w:r>
          </w:p>
        </w:tc>
      </w:tr>
      <w:tr w:rsidR="00597C86" w:rsidRPr="00597C86" w:rsidTr="00597C86">
        <w:trPr>
          <w:trHeight w:val="408"/>
        </w:trPr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pStyle w:val="a3"/>
              <w:numPr>
                <w:ilvl w:val="0"/>
                <w:numId w:val="3"/>
              </w:numPr>
              <w:spacing w:line="360" w:lineRule="exact"/>
              <w:jc w:val="both"/>
              <w:rPr>
                <w:rFonts w:asciiTheme="majorEastAsia" w:eastAsiaTheme="majorEastAsia" w:hAnsiTheme="majorEastAsia" w:cs="Calibri" w:hint="default"/>
                <w:sz w:val="24"/>
                <w:szCs w:val="24"/>
                <w:lang w:val="zh-TW"/>
              </w:rPr>
            </w:pP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試算表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>Excel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使用</w:t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熟練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會一點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完全不會</w:t>
            </w:r>
          </w:p>
        </w:tc>
      </w:tr>
      <w:tr w:rsidR="00597C86" w:rsidRPr="00597C86" w:rsidTr="00597C86">
        <w:trPr>
          <w:trHeight w:val="136"/>
        </w:trPr>
        <w:tc>
          <w:tcPr>
            <w:tcW w:w="4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pStyle w:val="a3"/>
              <w:numPr>
                <w:ilvl w:val="0"/>
                <w:numId w:val="4"/>
              </w:numPr>
              <w:spacing w:line="360" w:lineRule="exact"/>
              <w:jc w:val="both"/>
              <w:rPr>
                <w:rFonts w:asciiTheme="majorEastAsia" w:eastAsiaTheme="majorEastAsia" w:hAnsiTheme="majorEastAsia" w:cs="Calibri" w:hint="default"/>
                <w:sz w:val="24"/>
                <w:szCs w:val="24"/>
                <w:lang w:val="zh-TW"/>
              </w:rPr>
            </w:pP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  <w:lang w:val="zh-TW"/>
              </w:rPr>
              <w:t>財務計算機使用</w:t>
            </w:r>
          </w:p>
        </w:tc>
        <w:tc>
          <w:tcPr>
            <w:tcW w:w="6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熟練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會一點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 xml:space="preserve">    </w:t>
            </w:r>
            <w:r w:rsidRPr="00597C86">
              <w:rPr>
                <w:rFonts w:asciiTheme="majorEastAsia" w:eastAsiaTheme="majorEastAsia" w:hAnsiTheme="majorEastAsia" w:cs="新細明體"/>
                <w:sz w:val="24"/>
                <w:szCs w:val="24"/>
              </w:rPr>
              <w:t>□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完全不會</w:t>
            </w:r>
          </w:p>
        </w:tc>
      </w:tr>
      <w:tr w:rsidR="00597C86" w:rsidRPr="00597C86" w:rsidTr="00597C86">
        <w:trPr>
          <w:trHeight w:val="720"/>
        </w:trPr>
        <w:tc>
          <w:tcPr>
            <w:tcW w:w="10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學習意願和期許（</w:t>
            </w:r>
            <w:r w:rsidRPr="00597C86">
              <w:rPr>
                <w:rFonts w:asciiTheme="majorEastAsia" w:eastAsiaTheme="majorEastAsia" w:hAnsiTheme="majorEastAsia" w:cs="Calibri"/>
                <w:sz w:val="24"/>
                <w:szCs w:val="24"/>
              </w:rPr>
              <w:t>100-200</w:t>
            </w: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字自述）</w:t>
            </w:r>
          </w:p>
        </w:tc>
      </w:tr>
      <w:tr w:rsidR="00597C86" w:rsidRPr="00597C86" w:rsidTr="00597C86">
        <w:trPr>
          <w:trHeight w:val="1759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為何您要學習財務策劃師培訓課程？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7C86" w:rsidRPr="00597C86" w:rsidTr="00597C86">
        <w:trPr>
          <w:trHeight w:val="2327"/>
        </w:trPr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cs="Calibri" w:hint="eastAsia"/>
                <w:sz w:val="24"/>
                <w:szCs w:val="24"/>
                <w:lang w:val="zh-TW"/>
              </w:rPr>
              <w:t>您期許學習財務策劃師培訓課程後的收獲？</w:t>
            </w: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7C86" w:rsidRPr="00597C86" w:rsidRDefault="00597C86" w:rsidP="00597C8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TableNormal"/>
        <w:tblW w:w="1049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68"/>
        <w:gridCol w:w="8522"/>
      </w:tblGrid>
      <w:tr w:rsidR="00597C86" w:rsidRPr="00597C86" w:rsidTr="00597C86">
        <w:trPr>
          <w:trHeight w:val="61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報名注意重要事項</w:t>
            </w:r>
          </w:p>
        </w:tc>
      </w:tr>
      <w:tr w:rsidR="00597C86" w:rsidRPr="00597C86" w:rsidTr="00597C86">
        <w:trPr>
          <w:trHeight w:val="273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匯款帳號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中國信託銀行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-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承德分行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銀行代號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:822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戶名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: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富淬企管顧問股份有限公司籌備處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帳號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:624-540-156-104</w:t>
            </w:r>
          </w:p>
          <w:p w:rsidR="00597C86" w:rsidRPr="00597C86" w:rsidRDefault="00597C86" w:rsidP="00597C86">
            <w:pPr>
              <w:spacing w:line="360" w:lineRule="exact"/>
              <w:jc w:val="both"/>
              <w:rPr>
                <w:rFonts w:asciiTheme="majorEastAsia" w:eastAsiaTheme="majorEastAsia" w:hAnsiTheme="majorEastAsia" w:cs="Menlo"/>
                <w:i/>
                <w:iCs/>
                <w:color w:val="FF0000"/>
                <w:sz w:val="24"/>
                <w:szCs w:val="24"/>
                <w:u w:color="FF0000"/>
              </w:rPr>
            </w:pPr>
            <w:r w:rsidRPr="00597C86">
              <w:rPr>
                <w:rFonts w:asciiTheme="majorEastAsia" w:eastAsiaTheme="majorEastAsia" w:hAnsiTheme="majorEastAsia"/>
                <w:color w:val="FF0000"/>
                <w:sz w:val="24"/>
                <w:szCs w:val="24"/>
                <w:u w:color="FF0000"/>
              </w:rPr>
              <w:t>※</w:t>
            </w:r>
            <w:r w:rsidRPr="00597C86">
              <w:rPr>
                <w:rFonts w:asciiTheme="majorEastAsia" w:eastAsiaTheme="majorEastAsia" w:hAnsiTheme="majorEastAsia"/>
                <w:i/>
                <w:iCs/>
                <w:color w:val="FF0000"/>
                <w:sz w:val="24"/>
                <w:szCs w:val="24"/>
                <w:u w:color="FF0000"/>
              </w:rPr>
              <w:t xml:space="preserve"> </w:t>
            </w:r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報名費用請於開課前七天以匯款方式完成。</w:t>
            </w:r>
          </w:p>
          <w:p w:rsidR="00597C86" w:rsidRPr="00597C86" w:rsidRDefault="00597C86" w:rsidP="00597C86">
            <w:pPr>
              <w:spacing w:line="360" w:lineRule="exact"/>
              <w:ind w:left="360"/>
              <w:jc w:val="both"/>
              <w:rPr>
                <w:rFonts w:asciiTheme="majorEastAsia" w:eastAsiaTheme="majorEastAsia" w:hAnsiTheme="majorEastAsia" w:cs="Menlo"/>
                <w:i/>
                <w:iCs/>
                <w:color w:val="FF0000"/>
                <w:sz w:val="24"/>
                <w:szCs w:val="24"/>
                <w:u w:color="FF0000"/>
              </w:rPr>
            </w:pPr>
            <w:r w:rsidRPr="00597C86">
              <w:rPr>
                <w:rFonts w:asciiTheme="majorEastAsia" w:eastAsiaTheme="majorEastAsia" w:hAnsiTheme="majorEastAsia"/>
                <w:i/>
                <w:iCs/>
                <w:color w:val="FF0000"/>
                <w:sz w:val="24"/>
                <w:szCs w:val="24"/>
                <w:u w:color="FF0000"/>
              </w:rPr>
              <w:t>(</w:t>
            </w:r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例如</w:t>
            </w:r>
            <w:r w:rsidRPr="00597C86">
              <w:rPr>
                <w:rFonts w:asciiTheme="majorEastAsia" w:eastAsiaTheme="majorEastAsia" w:hAnsiTheme="majorEastAsia"/>
                <w:i/>
                <w:iCs/>
                <w:color w:val="FF0000"/>
                <w:sz w:val="24"/>
                <w:szCs w:val="24"/>
                <w:u w:color="FF0000"/>
              </w:rPr>
              <w:t>9/7</w:t>
            </w:r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開課第一天，請於</w:t>
            </w:r>
            <w:r w:rsidRPr="00597C86">
              <w:rPr>
                <w:rFonts w:asciiTheme="majorEastAsia" w:eastAsiaTheme="majorEastAsia" w:hAnsiTheme="majorEastAsia"/>
                <w:i/>
                <w:iCs/>
                <w:color w:val="FF0000"/>
                <w:sz w:val="24"/>
                <w:szCs w:val="24"/>
                <w:u w:color="FF0000"/>
              </w:rPr>
              <w:t>8/31</w:t>
            </w:r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前匯款完成</w:t>
            </w:r>
            <w:r w:rsidRPr="00597C86">
              <w:rPr>
                <w:rFonts w:asciiTheme="majorEastAsia" w:eastAsiaTheme="majorEastAsia" w:hAnsiTheme="majorEastAsia"/>
                <w:i/>
                <w:iCs/>
                <w:color w:val="FF0000"/>
                <w:sz w:val="24"/>
                <w:szCs w:val="24"/>
                <w:u w:color="FF0000"/>
              </w:rPr>
              <w:t>)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/>
                <w:color w:val="FF0000"/>
                <w:sz w:val="24"/>
                <w:szCs w:val="24"/>
                <w:u w:color="FF0000"/>
              </w:rPr>
              <w:t xml:space="preserve">※ </w:t>
            </w:r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恕不接受現金繳費。</w:t>
            </w:r>
          </w:p>
        </w:tc>
      </w:tr>
      <w:tr w:rsidR="00597C86" w:rsidRPr="00597C86" w:rsidTr="00597C86">
        <w:trPr>
          <w:trHeight w:val="241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報名流程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1.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請完整填寫「財務策劃師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IFP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培訓課程報名表」後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將檔案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mail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至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hyperlink r:id="rId8" w:history="1">
              <w:r w:rsidRPr="00597C86">
                <w:rPr>
                  <w:rStyle w:val="Hyperlink0"/>
                  <w:rFonts w:asciiTheme="majorEastAsia" w:eastAsiaTheme="majorEastAsia" w:hAnsiTheme="majorEastAsia"/>
                  <w:i w:val="0"/>
                </w:rPr>
                <w:t>frmgc16@gmail.com</w:t>
              </w:r>
            </w:hyperlink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標楷體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2.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請先完成課前作業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-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自我介紹約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200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字以上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(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詳附件一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 xml:space="preserve">)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，將檔案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mail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至：</w:t>
            </w:r>
            <w:hyperlink r:id="rId9" w:history="1">
              <w:r w:rsidRPr="00597C86">
                <w:rPr>
                  <w:rStyle w:val="Hyperlink0"/>
                  <w:rFonts w:asciiTheme="majorEastAsia" w:eastAsiaTheme="majorEastAsia" w:hAnsiTheme="majorEastAsia"/>
                  <w:i w:val="0"/>
                </w:rPr>
                <w:t>frmgc16@gmail.com</w:t>
              </w:r>
            </w:hyperlink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Cs/>
                <w:sz w:val="24"/>
                <w:szCs w:val="24"/>
              </w:rPr>
              <w:t>3.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匯款完成後，請將匯款收據傳真至</w:t>
            </w:r>
            <w:r w:rsidRPr="00597C86">
              <w:rPr>
                <w:rFonts w:asciiTheme="majorEastAsia" w:eastAsiaTheme="majorEastAsia" w:hAnsiTheme="majorEastAsia"/>
                <w:iCs/>
                <w:sz w:val="24"/>
                <w:szCs w:val="24"/>
              </w:rPr>
              <w:t>04-2255-6200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，並備註學員姓名。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/>
                <w:color w:val="FF0000"/>
                <w:sz w:val="24"/>
                <w:szCs w:val="24"/>
                <w:u w:color="FF0000"/>
              </w:rPr>
              <w:t>※</w:t>
            </w:r>
            <w:r w:rsidRPr="00597C86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color="FF0000"/>
                <w:lang w:val="zh-TW"/>
              </w:rPr>
              <w:t>以上三項皆完成後，即為報名成功。</w:t>
            </w:r>
          </w:p>
        </w:tc>
      </w:tr>
      <w:tr w:rsidR="00597C86" w:rsidRPr="00597C86" w:rsidTr="00597C86">
        <w:trPr>
          <w:trHeight w:val="175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課程享有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1.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完整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3+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  <w:lang w:val="zh-TW"/>
              </w:rPr>
              <w:t>5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天訓練課程內容。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2.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長達半年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6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個月系統免費使用。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                   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3.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免費指導兩份個人財務規劃報告書。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               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4.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提供乙份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FNA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財務需求分析手冊。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5.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提供乙份學員手冊。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6.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全程享有午餐訂製服務</w:t>
            </w:r>
          </w:p>
        </w:tc>
      </w:tr>
      <w:tr w:rsidR="00597C86" w:rsidRPr="00597C86" w:rsidTr="00597C86">
        <w:trPr>
          <w:trHeight w:val="409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開課須知</w:t>
            </w:r>
          </w:p>
        </w:tc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1.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報名人數若未達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24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人，恕無法開班授課，報名費將予以退還，每班報名人數上限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32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人。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2.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為維護課程品質，上課期間嚴禁攜伴或小孩參與課程。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3.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請自備攜帶財務計算機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 xml:space="preserve">(CASIO 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型號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CFC-100V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或</w:t>
            </w:r>
            <w:r w:rsidRPr="00597C86">
              <w:rPr>
                <w:rFonts w:asciiTheme="majorEastAsia" w:eastAsiaTheme="majorEastAsia" w:hAnsiTheme="majorEastAsia"/>
                <w:i/>
                <w:iCs/>
                <w:sz w:val="24"/>
                <w:szCs w:val="24"/>
              </w:rPr>
              <w:t>FC-100)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、以及筆記型電腦。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4.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學員報名完成後，若因個人因素無法參與課程，已繳交</w:t>
            </w:r>
            <w:proofErr w:type="gramStart"/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報名費恕不予</w:t>
            </w:r>
            <w:proofErr w:type="gramEnd"/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退還，但未來可安排補課。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 w:cs="Menlo"/>
                <w:i/>
                <w:iCs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5.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學員於上課期間可以免費使用系統，若是缺課二次或是二次作業未於規定期限內繳交者，則系統會暫停讓學員使用，但仍可持續參與課程到結束。</w:t>
            </w:r>
          </w:p>
          <w:p w:rsidR="00597C86" w:rsidRPr="00597C86" w:rsidRDefault="00597C86" w:rsidP="00597C8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7C86">
              <w:rPr>
                <w:rFonts w:asciiTheme="majorEastAsia" w:eastAsiaTheme="majorEastAsia" w:hAnsiTheme="majorEastAsia" w:hint="eastAsia"/>
                <w:i/>
                <w:iCs/>
                <w:sz w:val="24"/>
                <w:szCs w:val="24"/>
              </w:rPr>
              <w:t>6.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如有其它相關問題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  <w:r w:rsidRPr="00597C86">
              <w:rPr>
                <w:rStyle w:val="a4"/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歡迎</w:t>
            </w:r>
            <w:r w:rsidRPr="00597C86">
              <w:rPr>
                <w:rStyle w:val="a4"/>
                <w:rFonts w:asciiTheme="majorEastAsia" w:eastAsiaTheme="majorEastAsia" w:hAnsiTheme="majorEastAsia"/>
                <w:iCs/>
                <w:sz w:val="24"/>
                <w:szCs w:val="24"/>
              </w:rPr>
              <w:t>mail</w:t>
            </w:r>
            <w:r w:rsidRPr="00597C86">
              <w:rPr>
                <w:rStyle w:val="a4"/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至</w:t>
            </w:r>
            <w:r w:rsidRPr="00597C86">
              <w:rPr>
                <w:rStyle w:val="a4"/>
                <w:rFonts w:asciiTheme="majorEastAsia" w:eastAsiaTheme="majorEastAsia" w:hAnsiTheme="majorEastAsia"/>
                <w:iCs/>
                <w:sz w:val="24"/>
                <w:szCs w:val="24"/>
              </w:rPr>
              <w:t>frmgc16@gmail.com</w:t>
            </w:r>
            <w:r w:rsidRPr="00597C86">
              <w:rPr>
                <w:rFonts w:asciiTheme="majorEastAsia" w:eastAsiaTheme="majorEastAsia" w:hAnsiTheme="majorEastAsia" w:hint="eastAsia"/>
                <w:sz w:val="24"/>
                <w:szCs w:val="24"/>
                <w:lang w:val="zh-TW"/>
              </w:rPr>
              <w:t>詢問。</w:t>
            </w:r>
          </w:p>
        </w:tc>
      </w:tr>
    </w:tbl>
    <w:p w:rsidR="00597C86" w:rsidRPr="00597C86" w:rsidRDefault="00597C86" w:rsidP="00597C8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97C86" w:rsidRPr="00597C86" w:rsidRDefault="00597C86" w:rsidP="00597C8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97C86" w:rsidRPr="00597C86" w:rsidRDefault="00597C86" w:rsidP="00597C86">
      <w:pPr>
        <w:spacing w:line="360" w:lineRule="exact"/>
        <w:jc w:val="center"/>
        <w:rPr>
          <w:rFonts w:asciiTheme="majorEastAsia" w:eastAsiaTheme="majorEastAsia" w:hAnsiTheme="majorEastAsia" w:cs="Menlo"/>
          <w:i/>
          <w:iCs/>
          <w:sz w:val="24"/>
          <w:szCs w:val="24"/>
        </w:rPr>
      </w:pPr>
      <w:r w:rsidRPr="00597C86">
        <w:rPr>
          <w:rFonts w:asciiTheme="majorEastAsia" w:eastAsiaTheme="majorEastAsia" w:hAnsiTheme="majorEastAsia" w:hint="eastAsia"/>
          <w:sz w:val="24"/>
          <w:szCs w:val="24"/>
          <w:lang w:val="zh-TW"/>
        </w:rPr>
        <w:lastRenderedPageBreak/>
        <w:t>附件一</w:t>
      </w:r>
      <w:r w:rsidRPr="00597C86">
        <w:rPr>
          <w:rFonts w:asciiTheme="majorEastAsia" w:eastAsiaTheme="majorEastAsia" w:hAnsiTheme="majorEastAsia"/>
          <w:i/>
          <w:iCs/>
          <w:sz w:val="24"/>
          <w:szCs w:val="24"/>
        </w:rPr>
        <w:t>:</w:t>
      </w:r>
      <w:r w:rsidRPr="00597C86">
        <w:rPr>
          <w:rFonts w:asciiTheme="majorEastAsia" w:eastAsiaTheme="majorEastAsia" w:hAnsiTheme="majorEastAsia" w:hint="eastAsia"/>
          <w:sz w:val="24"/>
          <w:szCs w:val="24"/>
          <w:lang w:val="zh-TW"/>
        </w:rPr>
        <w:t>自我介紹約</w:t>
      </w:r>
      <w:r w:rsidRPr="00597C86">
        <w:rPr>
          <w:rFonts w:asciiTheme="majorEastAsia" w:eastAsiaTheme="majorEastAsia" w:hAnsiTheme="majorEastAsia"/>
          <w:i/>
          <w:iCs/>
          <w:sz w:val="24"/>
          <w:szCs w:val="24"/>
        </w:rPr>
        <w:t>200</w:t>
      </w:r>
      <w:r w:rsidRPr="00597C86">
        <w:rPr>
          <w:rFonts w:asciiTheme="majorEastAsia" w:eastAsiaTheme="majorEastAsia" w:hAnsiTheme="majorEastAsia" w:hint="eastAsia"/>
          <w:sz w:val="24"/>
          <w:szCs w:val="24"/>
          <w:lang w:val="zh-TW"/>
        </w:rPr>
        <w:t>字</w:t>
      </w:r>
      <w:r w:rsidRPr="00597C86">
        <w:rPr>
          <w:rFonts w:asciiTheme="majorEastAsia" w:eastAsiaTheme="majorEastAsia" w:hAnsiTheme="majorEastAsia" w:cs="Menlo"/>
          <w:i/>
          <w:iCs/>
          <w:sz w:val="24"/>
          <w:szCs w:val="24"/>
        </w:rPr>
        <w:tab/>
      </w:r>
      <w:r w:rsidRPr="00597C86">
        <w:rPr>
          <w:rFonts w:asciiTheme="majorEastAsia" w:eastAsiaTheme="majorEastAsia" w:hAnsiTheme="majorEastAsia" w:hint="eastAsia"/>
          <w:sz w:val="24"/>
          <w:szCs w:val="24"/>
          <w:lang w:val="zh-TW"/>
        </w:rPr>
        <w:t>以上</w:t>
      </w:r>
    </w:p>
    <w:tbl>
      <w:tblPr>
        <w:tblStyle w:val="a7"/>
        <w:tblW w:w="0" w:type="auto"/>
        <w:tblLook w:val="04A0"/>
      </w:tblPr>
      <w:tblGrid>
        <w:gridCol w:w="10522"/>
      </w:tblGrid>
      <w:tr w:rsidR="00597C86" w:rsidRPr="00597C86" w:rsidTr="00597C86">
        <w:tc>
          <w:tcPr>
            <w:tcW w:w="10522" w:type="dxa"/>
          </w:tcPr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97C86" w:rsidRPr="00597C86" w:rsidRDefault="00597C86" w:rsidP="00597C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97C86" w:rsidRPr="00597C86" w:rsidRDefault="00597C86" w:rsidP="00597C86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597C86" w:rsidRPr="00597C86" w:rsidSect="00597C86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B8F" w:rsidRDefault="00134B8F" w:rsidP="00134B8F">
      <w:r>
        <w:separator/>
      </w:r>
    </w:p>
  </w:endnote>
  <w:endnote w:type="continuationSeparator" w:id="0">
    <w:p w:rsidR="00134B8F" w:rsidRDefault="00134B8F" w:rsidP="0013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nl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B8F" w:rsidRDefault="00134B8F" w:rsidP="00134B8F">
      <w:r>
        <w:separator/>
      </w:r>
    </w:p>
  </w:footnote>
  <w:footnote w:type="continuationSeparator" w:id="0">
    <w:p w:rsidR="00134B8F" w:rsidRDefault="00134B8F" w:rsidP="00134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8CD"/>
    <w:multiLevelType w:val="hybridMultilevel"/>
    <w:tmpl w:val="12C0C284"/>
    <w:lvl w:ilvl="0" w:tplc="D91A5FDC">
      <w:start w:val="1"/>
      <w:numFmt w:val="bullet"/>
      <w:lvlText w:val="•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5EB852">
      <w:start w:val="1"/>
      <w:numFmt w:val="bullet"/>
      <w:lvlText w:val="■"/>
      <w:lvlJc w:val="left"/>
      <w:pPr>
        <w:ind w:left="7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26AE8A">
      <w:start w:val="1"/>
      <w:numFmt w:val="bullet"/>
      <w:lvlText w:val="◆"/>
      <w:lvlJc w:val="left"/>
      <w:pPr>
        <w:ind w:left="1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818C0">
      <w:start w:val="1"/>
      <w:numFmt w:val="bullet"/>
      <w:lvlText w:val="●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E1460">
      <w:start w:val="1"/>
      <w:numFmt w:val="bullet"/>
      <w:lvlText w:val="■"/>
      <w:lvlJc w:val="left"/>
      <w:pPr>
        <w:ind w:left="22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EA0E2">
      <w:start w:val="1"/>
      <w:numFmt w:val="bullet"/>
      <w:lvlText w:val="◆"/>
      <w:lvlJc w:val="left"/>
      <w:pPr>
        <w:ind w:left="2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AE2B6">
      <w:start w:val="1"/>
      <w:numFmt w:val="bullet"/>
      <w:lvlText w:val="●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8B12C">
      <w:start w:val="1"/>
      <w:numFmt w:val="bullet"/>
      <w:lvlText w:val="■"/>
      <w:lvlJc w:val="left"/>
      <w:pPr>
        <w:ind w:left="36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36E4E6">
      <w:start w:val="1"/>
      <w:numFmt w:val="bullet"/>
      <w:lvlText w:val="◆"/>
      <w:lvlJc w:val="left"/>
      <w:pPr>
        <w:ind w:left="41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236160B"/>
    <w:multiLevelType w:val="hybridMultilevel"/>
    <w:tmpl w:val="D21281E6"/>
    <w:lvl w:ilvl="0" w:tplc="B928DA58">
      <w:start w:val="1"/>
      <w:numFmt w:val="bullet"/>
      <w:lvlText w:val="•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5E6190">
      <w:start w:val="1"/>
      <w:numFmt w:val="bullet"/>
      <w:lvlText w:val="■"/>
      <w:lvlJc w:val="left"/>
      <w:pPr>
        <w:ind w:left="7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0C44E6">
      <w:start w:val="1"/>
      <w:numFmt w:val="bullet"/>
      <w:lvlText w:val="◆"/>
      <w:lvlJc w:val="left"/>
      <w:pPr>
        <w:ind w:left="1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48FAE">
      <w:start w:val="1"/>
      <w:numFmt w:val="bullet"/>
      <w:lvlText w:val="●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EF248">
      <w:start w:val="1"/>
      <w:numFmt w:val="bullet"/>
      <w:lvlText w:val="■"/>
      <w:lvlJc w:val="left"/>
      <w:pPr>
        <w:ind w:left="22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6EE8C2">
      <w:start w:val="1"/>
      <w:numFmt w:val="bullet"/>
      <w:lvlText w:val="◆"/>
      <w:lvlJc w:val="left"/>
      <w:pPr>
        <w:ind w:left="2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C85E52">
      <w:start w:val="1"/>
      <w:numFmt w:val="bullet"/>
      <w:lvlText w:val="●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C0102">
      <w:start w:val="1"/>
      <w:numFmt w:val="bullet"/>
      <w:lvlText w:val="■"/>
      <w:lvlJc w:val="left"/>
      <w:pPr>
        <w:ind w:left="36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EB7E0">
      <w:start w:val="1"/>
      <w:numFmt w:val="bullet"/>
      <w:lvlText w:val="◆"/>
      <w:lvlJc w:val="left"/>
      <w:pPr>
        <w:ind w:left="41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ECC70D7"/>
    <w:multiLevelType w:val="hybridMultilevel"/>
    <w:tmpl w:val="7E8C2A6A"/>
    <w:lvl w:ilvl="0" w:tplc="785A9A78">
      <w:start w:val="1"/>
      <w:numFmt w:val="bullet"/>
      <w:lvlText w:val="•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A657DE">
      <w:start w:val="1"/>
      <w:numFmt w:val="bullet"/>
      <w:lvlText w:val="■"/>
      <w:lvlJc w:val="left"/>
      <w:pPr>
        <w:ind w:left="7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3E31CC">
      <w:start w:val="1"/>
      <w:numFmt w:val="bullet"/>
      <w:lvlText w:val="◆"/>
      <w:lvlJc w:val="left"/>
      <w:pPr>
        <w:ind w:left="1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E20F8">
      <w:start w:val="1"/>
      <w:numFmt w:val="bullet"/>
      <w:lvlText w:val="●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C2340C">
      <w:start w:val="1"/>
      <w:numFmt w:val="bullet"/>
      <w:lvlText w:val="■"/>
      <w:lvlJc w:val="left"/>
      <w:pPr>
        <w:ind w:left="22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6E9B8">
      <w:start w:val="1"/>
      <w:numFmt w:val="bullet"/>
      <w:lvlText w:val="◆"/>
      <w:lvlJc w:val="left"/>
      <w:pPr>
        <w:ind w:left="2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E376C">
      <w:start w:val="1"/>
      <w:numFmt w:val="bullet"/>
      <w:lvlText w:val="●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68CEFE">
      <w:start w:val="1"/>
      <w:numFmt w:val="bullet"/>
      <w:lvlText w:val="■"/>
      <w:lvlJc w:val="left"/>
      <w:pPr>
        <w:ind w:left="36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9497BA">
      <w:start w:val="1"/>
      <w:numFmt w:val="bullet"/>
      <w:lvlText w:val="◆"/>
      <w:lvlJc w:val="left"/>
      <w:pPr>
        <w:ind w:left="41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45127D3"/>
    <w:multiLevelType w:val="hybridMultilevel"/>
    <w:tmpl w:val="1A20BCCA"/>
    <w:lvl w:ilvl="0" w:tplc="2646C286">
      <w:start w:val="1"/>
      <w:numFmt w:val="bullet"/>
      <w:lvlText w:val="•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5463C0">
      <w:start w:val="1"/>
      <w:numFmt w:val="bullet"/>
      <w:lvlText w:val="■"/>
      <w:lvlJc w:val="left"/>
      <w:pPr>
        <w:ind w:left="7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96D1F0">
      <w:start w:val="1"/>
      <w:numFmt w:val="bullet"/>
      <w:lvlText w:val="◆"/>
      <w:lvlJc w:val="left"/>
      <w:pPr>
        <w:ind w:left="1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A5F42">
      <w:start w:val="1"/>
      <w:numFmt w:val="bullet"/>
      <w:lvlText w:val="●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4824C">
      <w:start w:val="1"/>
      <w:numFmt w:val="bullet"/>
      <w:lvlText w:val="■"/>
      <w:lvlJc w:val="left"/>
      <w:pPr>
        <w:ind w:left="22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6405D4">
      <w:start w:val="1"/>
      <w:numFmt w:val="bullet"/>
      <w:lvlText w:val="◆"/>
      <w:lvlJc w:val="left"/>
      <w:pPr>
        <w:ind w:left="2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2CCC74">
      <w:start w:val="1"/>
      <w:numFmt w:val="bullet"/>
      <w:lvlText w:val="●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8EC7B0">
      <w:start w:val="1"/>
      <w:numFmt w:val="bullet"/>
      <w:lvlText w:val="■"/>
      <w:lvlJc w:val="left"/>
      <w:pPr>
        <w:ind w:left="36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A8419E">
      <w:start w:val="1"/>
      <w:numFmt w:val="bullet"/>
      <w:lvlText w:val="◆"/>
      <w:lvlJc w:val="left"/>
      <w:pPr>
        <w:ind w:left="41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86"/>
    <w:rsid w:val="00051C89"/>
    <w:rsid w:val="000B1DE3"/>
    <w:rsid w:val="00134B8F"/>
    <w:rsid w:val="00597C86"/>
    <w:rsid w:val="00F9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C8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97C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rsid w:val="00597C86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</w:rPr>
  </w:style>
  <w:style w:type="character" w:customStyle="1" w:styleId="a4">
    <w:name w:val="連結"/>
    <w:rsid w:val="00597C86"/>
    <w:rPr>
      <w:color w:val="0000FF"/>
      <w:u w:val="single" w:color="0000FF"/>
    </w:rPr>
  </w:style>
  <w:style w:type="character" w:customStyle="1" w:styleId="Hyperlink0">
    <w:name w:val="Hyperlink.0"/>
    <w:basedOn w:val="a4"/>
    <w:rsid w:val="00597C86"/>
    <w:rPr>
      <w:rFonts w:ascii="Menlo" w:eastAsia="Menlo" w:hAnsi="Menlo" w:cs="Menlo"/>
      <w:i/>
      <w:iCs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97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97C86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table" w:styleId="a7">
    <w:name w:val="Table Grid"/>
    <w:basedOn w:val="a1"/>
    <w:uiPriority w:val="59"/>
    <w:rsid w:val="0059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3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34B8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aa">
    <w:name w:val="footer"/>
    <w:basedOn w:val="a"/>
    <w:link w:val="ab"/>
    <w:uiPriority w:val="99"/>
    <w:semiHidden/>
    <w:unhideWhenUsed/>
    <w:rsid w:val="00134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34B8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gc1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mgc1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2016-08-29T05:18:00Z</dcterms:created>
  <dcterms:modified xsi:type="dcterms:W3CDTF">2016-08-29T05:30:00Z</dcterms:modified>
</cp:coreProperties>
</file>